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60" w:rsidRPr="00C973D0" w:rsidRDefault="00C54560" w:rsidP="00C54560">
      <w:pPr>
        <w:spacing w:before="150" w:after="150"/>
        <w:jc w:val="center"/>
        <w:rPr>
          <w:b/>
          <w:u w:val="single"/>
        </w:rPr>
      </w:pPr>
      <w:r w:rsidRPr="00272D3B">
        <w:rPr>
          <w:b/>
          <w:u w:val="single"/>
        </w:rPr>
        <w:t>Dyżury nocne i świąteczne aptek w powiecie węgrowskim</w:t>
      </w:r>
    </w:p>
    <w:p w:rsidR="00C54560" w:rsidRDefault="00C54560" w:rsidP="00C54560"/>
    <w:p w:rsidR="00C54560" w:rsidRDefault="00C54560" w:rsidP="00C54560">
      <w:pPr>
        <w:spacing w:before="150" w:after="150"/>
        <w:jc w:val="both"/>
      </w:pPr>
      <w:r>
        <w:t xml:space="preserve">Dostępność do świadczeń w porze nocnej, w niedziele, święta i dni wolne od pracy zapewniają wszystkie apteki na terenie miasta Węgrowa zgodnie z następującym harmonogramem: </w:t>
      </w:r>
    </w:p>
    <w:p w:rsidR="00C54560" w:rsidRPr="0032415A" w:rsidRDefault="00C54560" w:rsidP="00C54560">
      <w:pPr>
        <w:spacing w:before="150" w:after="150"/>
        <w:jc w:val="both"/>
        <w:rPr>
          <w:sz w:val="23"/>
          <w:szCs w:val="23"/>
        </w:rPr>
      </w:pPr>
    </w:p>
    <w:p w:rsidR="00C54560" w:rsidRPr="0032415A" w:rsidRDefault="00C54560" w:rsidP="00C54560">
      <w:pPr>
        <w:spacing w:before="150" w:after="15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styczeń – czerwiec 2020</w:t>
      </w:r>
    </w:p>
    <w:tbl>
      <w:tblPr>
        <w:tblStyle w:val="Tabela-Siatka"/>
        <w:tblW w:w="96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31"/>
        <w:gridCol w:w="1246"/>
        <w:gridCol w:w="1247"/>
        <w:gridCol w:w="1247"/>
        <w:gridCol w:w="1247"/>
        <w:gridCol w:w="1247"/>
        <w:gridCol w:w="1247"/>
      </w:tblGrid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right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Miesiąc</w:t>
            </w:r>
          </w:p>
          <w:p w:rsidR="00C54560" w:rsidRPr="0032415A" w:rsidRDefault="00C54560" w:rsidP="00C329F1">
            <w:pPr>
              <w:spacing w:before="150" w:after="150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Apteka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styczeń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luty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marzec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kwiecień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maj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czerwiec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11 Listopada 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13 - 19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2 –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20 –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8 – 14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Strażacka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1.01</w:t>
            </w:r>
          </w:p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20 –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 xml:space="preserve">9 – 15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27 –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1 –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15 – 21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Zwycięstwa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27 –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1 –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16 –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4 –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22 – 28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Żeromskiego 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3 –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23 –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11 –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29 – 30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Rynek Mariacki 23/24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10 –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30 –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1 –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18 –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Przemysłowa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2 –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z w:val="23"/>
                <w:szCs w:val="23"/>
                <w:lang w:eastAsia="en-US"/>
              </w:rPr>
              <w:t>17 –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6 –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  <w:t>25 –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pStyle w:val="Standard"/>
              <w:jc w:val="center"/>
              <w:rPr>
                <w:rFonts w:cs="Times New Roman"/>
                <w:bCs/>
                <w:iCs/>
                <w:spacing w:val="30"/>
                <w:sz w:val="23"/>
                <w:szCs w:val="23"/>
                <w:lang w:eastAsia="en-US"/>
              </w:rPr>
            </w:pP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 xml:space="preserve">ul. Wyszyńskiego 7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6 - 12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24 - 29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13 - 19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1 - 7</w:t>
            </w:r>
          </w:p>
        </w:tc>
      </w:tr>
    </w:tbl>
    <w:p w:rsidR="00C54560" w:rsidRDefault="00C54560" w:rsidP="00C54560">
      <w:pPr>
        <w:spacing w:before="150" w:after="150"/>
        <w:jc w:val="center"/>
        <w:rPr>
          <w:b/>
          <w:sz w:val="23"/>
          <w:szCs w:val="23"/>
        </w:rPr>
      </w:pPr>
    </w:p>
    <w:p w:rsidR="00C54560" w:rsidRPr="0032415A" w:rsidRDefault="00C54560" w:rsidP="00C54560">
      <w:pPr>
        <w:spacing w:before="150" w:after="15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lipiec – grudzień 2020</w:t>
      </w:r>
    </w:p>
    <w:tbl>
      <w:tblPr>
        <w:tblStyle w:val="Tabela-Siatka"/>
        <w:tblW w:w="96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31"/>
        <w:gridCol w:w="1246"/>
        <w:gridCol w:w="1247"/>
        <w:gridCol w:w="1188"/>
        <w:gridCol w:w="1418"/>
        <w:gridCol w:w="1135"/>
        <w:gridCol w:w="1247"/>
      </w:tblGrid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right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Miesiąc</w:t>
            </w:r>
          </w:p>
          <w:p w:rsidR="00C54560" w:rsidRPr="0032415A" w:rsidRDefault="00C54560" w:rsidP="00C329F1">
            <w:pPr>
              <w:spacing w:before="150" w:after="150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Apteka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lipiec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sierpień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październik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listopad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grudzień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11 Listopada 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 –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–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–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21 – 23</w:t>
            </w:r>
          </w:p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 – 27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Strażacka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– 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21 –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 –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 – 30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Zwycięstwa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 – 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 –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–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 –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24.12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Żeromskiego 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–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 – 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–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 –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25.12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>ul. Rynek Mariacki 23/24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–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 – 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 –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30.11</w:t>
            </w:r>
          </w:p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– 6</w:t>
            </w:r>
          </w:p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lastRenderedPageBreak/>
              <w:t>ul. Przemysłowa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 –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–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 – 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– 13</w:t>
            </w:r>
          </w:p>
        </w:tc>
      </w:tr>
      <w:tr w:rsidR="00C54560" w:rsidRPr="0032415A" w:rsidTr="00C329F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 w:rsidRPr="0032415A">
              <w:rPr>
                <w:sz w:val="23"/>
                <w:szCs w:val="23"/>
                <w:lang w:eastAsia="en-US"/>
              </w:rPr>
              <w:t xml:space="preserve">ul. Wyszyńskiego 7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20 - 26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7 - 13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26 - 31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ind w:right="-24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0" w:rsidRPr="0032415A" w:rsidRDefault="00C54560" w:rsidP="00C329F1">
            <w:pPr>
              <w:spacing w:before="150" w:after="1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14 - 20</w:t>
            </w:r>
          </w:p>
        </w:tc>
      </w:tr>
    </w:tbl>
    <w:p w:rsidR="00A47618" w:rsidRDefault="00C54560"/>
    <w:p w:rsidR="00C54560" w:rsidRDefault="00C54560" w:rsidP="00C54560">
      <w:pPr>
        <w:spacing w:before="150" w:after="150"/>
      </w:pPr>
      <w:r>
        <w:t>Dyżur nocny w dni powszednie i dni wolne od pracy trwa od godz. 20.00 do godz. 8.00 dnia następnego a jeżeli kończy się w niedzielę lub święto to do godz. 9.00.</w:t>
      </w:r>
    </w:p>
    <w:p w:rsidR="00C54560" w:rsidRDefault="00C54560" w:rsidP="00C54560">
      <w:pPr>
        <w:spacing w:before="150" w:after="150"/>
      </w:pPr>
      <w:r>
        <w:t>Dyżur w dni świąteczne trwa od godz. 9.00 do godz. 9.00 dnia następnego.</w:t>
      </w:r>
    </w:p>
    <w:p w:rsidR="00C54560" w:rsidRDefault="00C54560" w:rsidP="00C54560">
      <w:pPr>
        <w:spacing w:before="150" w:after="150"/>
      </w:pPr>
      <w:r>
        <w:t xml:space="preserve">Dyżur w niedziele trwa od. godz. 14.00 do godz. 8.00 dnia następnego. </w:t>
      </w:r>
    </w:p>
    <w:p w:rsidR="00C54560" w:rsidRDefault="00C54560" w:rsidP="00C54560"/>
    <w:p w:rsidR="00C54560" w:rsidRDefault="00C54560">
      <w:bookmarkStart w:id="0" w:name="_GoBack"/>
      <w:bookmarkEnd w:id="0"/>
    </w:p>
    <w:sectPr w:rsidR="00C54560" w:rsidSect="00C5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07"/>
    <w:rsid w:val="00272C07"/>
    <w:rsid w:val="002F3026"/>
    <w:rsid w:val="0088176C"/>
    <w:rsid w:val="00A60BF7"/>
    <w:rsid w:val="00A90F32"/>
    <w:rsid w:val="00C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1AD0-144B-4DDA-B281-8E77D89F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4560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4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Brzezik</dc:creator>
  <cp:keywords/>
  <dc:description/>
  <cp:lastModifiedBy>Marta Brzezik</cp:lastModifiedBy>
  <cp:revision>2</cp:revision>
  <dcterms:created xsi:type="dcterms:W3CDTF">2020-02-17T10:58:00Z</dcterms:created>
  <dcterms:modified xsi:type="dcterms:W3CDTF">2020-02-17T11:01:00Z</dcterms:modified>
</cp:coreProperties>
</file>